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EC5" w:rsidRPr="00BA1EC5" w:rsidRDefault="00BA1EC5" w:rsidP="00BA1EC5">
      <w:pPr>
        <w:spacing w:after="319" w:line="382" w:lineRule="atLeast"/>
        <w:outlineLvl w:val="1"/>
        <w:rPr>
          <w:rFonts w:ascii="Georgia" w:eastAsia="Times New Roman" w:hAnsi="Georgia" w:cs="Helvetica"/>
          <w:b/>
          <w:bCs/>
          <w:color w:val="000000"/>
          <w:sz w:val="32"/>
          <w:szCs w:val="32"/>
          <w:lang w:eastAsia="hu-HU"/>
        </w:rPr>
      </w:pPr>
      <w:r w:rsidRPr="00BA1EC5">
        <w:rPr>
          <w:rFonts w:ascii="Georgia" w:eastAsia="Times New Roman" w:hAnsi="Georgia" w:cs="Helvetica"/>
          <w:b/>
          <w:bCs/>
          <w:color w:val="000000"/>
          <w:sz w:val="32"/>
          <w:szCs w:val="32"/>
          <w:lang w:eastAsia="hu-HU"/>
        </w:rPr>
        <w:t xml:space="preserve">2. számú melléklet. Közhasznúsági melléklet </w:t>
      </w:r>
    </w:p>
    <w:p w:rsidR="00BA1EC5" w:rsidRPr="00BA1EC5" w:rsidRDefault="00BA1EC5" w:rsidP="00BA1EC5">
      <w:pPr>
        <w:spacing w:line="382" w:lineRule="atLeast"/>
        <w:outlineLvl w:val="1"/>
        <w:rPr>
          <w:rFonts w:ascii="Georgia" w:eastAsia="Times New Roman" w:hAnsi="Georgia" w:cs="Helvetica"/>
          <w:b/>
          <w:bCs/>
          <w:color w:val="000000"/>
          <w:sz w:val="32"/>
          <w:szCs w:val="32"/>
          <w:lang w:eastAsia="hu-HU"/>
        </w:rPr>
      </w:pPr>
      <w:r w:rsidRPr="00BA1EC5">
        <w:rPr>
          <w:rFonts w:ascii="Georgia" w:eastAsia="Times New Roman" w:hAnsi="Georgia" w:cs="Helvetica"/>
          <w:b/>
          <w:bCs/>
          <w:color w:val="000000"/>
          <w:sz w:val="32"/>
          <w:szCs w:val="32"/>
          <w:lang w:eastAsia="hu-HU"/>
        </w:rPr>
        <w:t>(A 350/2011. (XII. 30.) kormányrendelet melléklete)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4"/>
        <w:gridCol w:w="5115"/>
      </w:tblGrid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1. A szervezet azonosító adatai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név: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Pinceszínház Közhasznú Nonprofit Művészeti Kft.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székhely: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Szeged, Röszkei u. 15. 6725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bejegyző határozat száma: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2004/03/23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nyilvántartási szám:</w:t>
            </w: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cégjegyzékszám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06-09-009180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képviselő neve: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Kancsár Orsolya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Default="00BA1EC5" w:rsidP="00514F9F">
            <w:pPr>
              <w:spacing w:after="255" w:line="240" w:lineRule="auto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2</w:t>
            </w:r>
            <w:r w:rsidRPr="003B037A">
              <w:rPr>
                <w:bCs/>
                <w:color w:val="17365D" w:themeColor="text2" w:themeShade="BF"/>
              </w:rPr>
              <w:t>a</w:t>
            </w:r>
            <w:r>
              <w:rPr>
                <w:bCs/>
                <w:color w:val="17365D" w:themeColor="text2" w:themeShade="BF"/>
              </w:rPr>
              <w:t xml:space="preserve"> 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Tárgyévben végzett alapcél szerinti és közhasznú tevékenységek bemutatása </w:t>
            </w:r>
          </w:p>
          <w:p w:rsidR="00514F9F" w:rsidRDefault="00514F9F" w:rsidP="00514F9F">
            <w:pPr>
              <w:spacing w:line="240" w:lineRule="auto"/>
              <w:ind w:firstLine="708"/>
              <w:jc w:val="both"/>
            </w:pPr>
            <w:r>
              <w:rPr>
                <w:b/>
              </w:rPr>
              <w:t>A Szegedi Pinceszínház az elmúlt évben is mindent megtett azért, hogy színvonalas produkciókat, projekteket hozzon létre</w:t>
            </w:r>
            <w:r>
              <w:t xml:space="preserve">, és a régió egyetlen családi rendezvénye, a </w:t>
            </w:r>
            <w:r>
              <w:rPr>
                <w:b/>
              </w:rPr>
              <w:t xml:space="preserve">XIII. Szegedi Várjátékok, </w:t>
            </w:r>
            <w:r>
              <w:t xml:space="preserve">idén is megvalósuljon. </w:t>
            </w:r>
          </w:p>
          <w:p w:rsidR="000B37BD" w:rsidRPr="000B37BD" w:rsidRDefault="000B37BD" w:rsidP="000B37BD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Szegedi Pinceszínház Az elmúlt évadban </w:t>
            </w:r>
            <w:r w:rsidRPr="000B37BD">
              <w:rPr>
                <w:rFonts w:ascii="Times New Roman" w:eastAsia="Times New Roman" w:hAnsi="Times New Roman" w:cs="Times New Roman"/>
                <w:b/>
                <w:color w:val="4472C4"/>
                <w:sz w:val="24"/>
                <w:szCs w:val="24"/>
                <w:lang w:eastAsia="hu-HU"/>
              </w:rPr>
              <w:t>ÜNNEPLI FENNÁLÁSÁNAK 15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. </w:t>
            </w:r>
            <w:r w:rsidRPr="000B37BD">
              <w:rPr>
                <w:rFonts w:ascii="Times New Roman" w:eastAsia="Times New Roman" w:hAnsi="Times New Roman" w:cs="Times New Roman"/>
                <w:b/>
                <w:color w:val="4472C4"/>
                <w:sz w:val="24"/>
                <w:szCs w:val="24"/>
                <w:lang w:eastAsia="hu-HU"/>
              </w:rPr>
              <w:t>ÉVÉT.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Hogy méltó módon megünnepeljük ezt a neves évfordulót egy KORTÁRS </w:t>
            </w:r>
            <w:r w:rsidRPr="000B37BD">
              <w:rPr>
                <w:rFonts w:ascii="Times New Roman" w:eastAsia="Times New Roman" w:hAnsi="Times New Roman" w:cs="Times New Roman"/>
                <w:b/>
                <w:color w:val="4472C4"/>
                <w:sz w:val="24"/>
                <w:szCs w:val="24"/>
                <w:lang w:eastAsia="hu-HU"/>
              </w:rPr>
              <w:t>MAGYAR ÉVADOT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csináltunk. </w:t>
            </w:r>
          </w:p>
          <w:p w:rsidR="000B37BD" w:rsidRPr="000B37BD" w:rsidRDefault="000B37BD" w:rsidP="000B37BD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Az elmúlt évben is, mint minden évben fennállásunk 15 éve alatt mindent megtettünk azért, hogy színvonalas produkciókat, projekteket hozzunk létre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befogadjuk az otthon nélküli társulatokat és a régió egyetlen családi rendezvénye, melyet nagyon keresnek a családosok a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XIV. Szegedi Várjátékok, 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2016-ban is megvalósuljon. </w:t>
            </w:r>
          </w:p>
          <w:p w:rsidR="000B37BD" w:rsidRPr="000B37BD" w:rsidRDefault="000B37BD" w:rsidP="000B3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0B37BD" w:rsidRPr="000B37BD" w:rsidRDefault="000B37BD" w:rsidP="000B37BD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2016-ban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3 bemutatót tartottunk,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tovább játszottuk a 2015-ben bemutatott egyedülálló ősbemutatónkat, mely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Csukás-Varga-Janik: Keménykalap és Krumpliorr c. ifjúsági musical, melynek jogát egyedül a Szegedi Pinceszínház kapta meg Csukás Istvántól, hogy színpadra alkalmazhassa ezt a klasszikussá vált történetet. 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Továbbra is játszottuk az egész országban és Budapesten a 2013-ban bemutatott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Ő+Ő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c. színjátékot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Szabó Győző és Dr. Csernus Imre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főszereplésével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0B37BD" w:rsidRPr="000B37BD" w:rsidRDefault="000B37BD" w:rsidP="000B3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Színházunk 2014 óta Kelemen László színi tanoda gyakorlati játszóhelye, amivel hozzájárulhatunk az „utánpótlás” felneveléséhez. 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Folytattuk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iskolai nevelési projektünket,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 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Drámapedagógiával a Gyermekekért</w:t>
            </w:r>
            <w:r w:rsidRPr="000B37B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 kezdeményezésünkkel, mely keretén belül 13 oktatási intézmény partnereként vettünk részt</w:t>
            </w:r>
            <w:r w:rsidRPr="000B37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.</w:t>
            </w:r>
          </w:p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</w:tbl>
    <w:p w:rsidR="000A2376" w:rsidRDefault="000A2376">
      <w: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29"/>
      </w:tblGrid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lastRenderedPageBreak/>
              <w:t>3. Közhasznú tevékenységek bemutatása (tevékenységenként)</w:t>
            </w:r>
          </w:p>
          <w:p w:rsidR="00514F9F" w:rsidRPr="004C7FF3" w:rsidRDefault="00514F9F" w:rsidP="00514F9F">
            <w:pPr>
              <w:pStyle w:val="Szvegtrzs"/>
              <w:rPr>
                <w:bCs/>
                <w:iCs/>
              </w:rPr>
            </w:pPr>
            <w:r w:rsidRPr="004C7FF3">
              <w:t xml:space="preserve">Színházunk amellett, hogy saját produkciókat is létrehoz, egyben befogadó színházként is működik. A befogadott társulatoknál két szempontot tartunk továbbra is szem előtt. Az egyik; a már sikeres, szakmailag is elismert alkotókkal való együttműködés, hogy példaképeket állíthassunk a feltörekvő, új színházi formákkal kísérletező társulatoknak. A másik: az épp feltörekvő csoportok, kísérletező művészek, akik még keresik a saját stílusukat és színházi nyelvüket. </w:t>
            </w:r>
          </w:p>
          <w:p w:rsidR="00514F9F" w:rsidRPr="002F7230" w:rsidRDefault="00514F9F" w:rsidP="00514F9F">
            <w:pPr>
              <w:pStyle w:val="Szvegtrzs"/>
              <w:rPr>
                <w:sz w:val="22"/>
                <w:szCs w:val="22"/>
              </w:rPr>
            </w:pPr>
          </w:p>
          <w:p w:rsidR="004C7FF3" w:rsidRPr="004C7FF3" w:rsidRDefault="004C7FF3" w:rsidP="004C7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C7FF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Színházunk nagyon fontosnak tartja a „</w:t>
            </w:r>
            <w:r w:rsidRPr="004C7F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jövő nemzedékének” színházra történő nevelését! A Kelemen László Színitanodával együttműködve a Szegedi Pinceszínház az iskola gyakorlati helyévé vált, ami a diákok ösztöndíjjal való támogatását is magába foglalja.  </w:t>
            </w:r>
            <w:r w:rsidRPr="004C7FF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 éven át tartó TAMOP os pályázat fenntartási időszakában szerencsére az iskolákkal való jó viszonyunk megmaradt és igénylik is óráinkat, előadásainkat. Ezt a kezdeményezésünket mindenképpen hosszú távra tervezzük. Az előadásokon kívül tartottunk színjátszószakkört, rendhagyó irodalomórákat és ve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rsmondó versenyekre is felkészí</w:t>
            </w:r>
            <w:r w:rsidRPr="004C7FF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tjük a gyerekeket. </w:t>
            </w:r>
            <w:r w:rsidRPr="004C7F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Egyszóval próbálunk a kulturális sokszínűség jegyében tevékenykedni és erre nevelni a leendő színházbarát felnőtteket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:rsidR="00D80D60" w:rsidRPr="002F7230" w:rsidRDefault="00D80D60" w:rsidP="00D80D60">
            <w:pPr>
              <w:spacing w:line="240" w:lineRule="auto"/>
              <w:jc w:val="both"/>
              <w:rPr>
                <w:rStyle w:val="Kiemels2"/>
              </w:rPr>
            </w:pPr>
            <w:r w:rsidRPr="002F7230">
              <w:rPr>
                <w:rFonts w:eastAsia="Calibri" w:cs="Calibri"/>
                <w:b/>
                <w:i/>
              </w:rPr>
              <w:t xml:space="preserve">2011/2012-es tanévben kezdtük ezt a tevékenységünket. </w:t>
            </w:r>
            <w:r w:rsidRPr="002F7230">
              <w:rPr>
                <w:rStyle w:val="Kiemels2"/>
              </w:rPr>
              <w:t xml:space="preserve">Elmondhatom, hogy nem csak ők tanulhattak, hanem mi is nagyon sokat tanulhattunk tőlük. </w:t>
            </w:r>
          </w:p>
          <w:p w:rsidR="00D80D60" w:rsidRPr="008C0B95" w:rsidRDefault="00D80D60" w:rsidP="00D80D60">
            <w:pPr>
              <w:spacing w:line="240" w:lineRule="auto"/>
              <w:jc w:val="both"/>
              <w:rPr>
                <w:rStyle w:val="Kiemels2"/>
                <w:b w:val="0"/>
              </w:rPr>
            </w:pPr>
            <w:r w:rsidRPr="008C0B95">
              <w:rPr>
                <w:rStyle w:val="Kiemels2"/>
                <w:b w:val="0"/>
              </w:rPr>
              <w:t>13 oktatási intézményünk van, melyek közt óvoda</w:t>
            </w:r>
            <w:r>
              <w:rPr>
                <w:rStyle w:val="Kiemels2"/>
                <w:b w:val="0"/>
              </w:rPr>
              <w:t>, általános iskola,</w:t>
            </w:r>
            <w:r w:rsidRPr="008C0B95">
              <w:rPr>
                <w:rStyle w:val="Kiemels2"/>
                <w:b w:val="0"/>
              </w:rPr>
              <w:t xml:space="preserve"> gimnázium, sőt hátrányos helyzetű gyermekekkel foglalkozó iskola is van, ami nekünk is külön kihívást jelent. Rengeteg játék, nevetés és volt mikor sírás jellemezte az elmúlt évünket. </w:t>
            </w:r>
          </w:p>
          <w:p w:rsidR="00D80D60" w:rsidRPr="008C0B95" w:rsidRDefault="00D80D60" w:rsidP="00D80D60">
            <w:pPr>
              <w:spacing w:line="240" w:lineRule="auto"/>
              <w:jc w:val="both"/>
              <w:rPr>
                <w:b/>
              </w:rPr>
            </w:pPr>
            <w:r w:rsidRPr="008C0B95">
              <w:rPr>
                <w:rStyle w:val="Kiemels2"/>
                <w:b w:val="0"/>
              </w:rPr>
              <w:t>A drámajáték olyan játék tevékenység, amely a kommunikációt, a társas kapcsolatteremtést, probléma feldolgozást segíti. Volt bizony, mikor személyes problémák is napvilágot láttak, és volt mikor egymás megértésén kellett segítenünk. A dráma fejleszti a személyiséget, önbizalmat. Hozzájárul a helyes énkép kialakulásához, a stresszhelyzetek megfelelő kezeléséhez.</w:t>
            </w:r>
          </w:p>
          <w:p w:rsidR="00D80D60" w:rsidRPr="002F7230" w:rsidRDefault="00D80D60" w:rsidP="00D80D60">
            <w:pPr>
              <w:spacing w:line="240" w:lineRule="auto"/>
              <w:jc w:val="both"/>
            </w:pPr>
            <w:r w:rsidRPr="002F7230">
              <w:t>A zene, a mese, a kézművesség, a mozgás és a drámajáték nagy hatással lehet az ember fejlődésére, és összekovácsolja a közösségeket. Az alkotás, az önkifejezés felszabadít, és segíti a sebek begyógyulását, a vágyak kiélését vagy a meglévő képességek továbbalakulását. „A mesélés számos irányból támogatja a gyermekek kognitív és érzelmi fejlődését – mondja dr. Futó Judit gyermek- és ifjúsági klinikai szakpszichológus. – Kérdezésre ösztönözheti őket, a válaszokon keresztül pedig a világról való tudásuk is növekszik. Egy-egy történet végighallgatása nyugalmat és koncentrációt igényel, ami a gyermekek aktív figyelmi kapacitását is növeli. Gyakran előfordul, hogy újra és újra ugyanazt a mesét követelik. Feltételezhetjük, hogy ilyenkor aktuálisan fontos témát, esetleg lelki problémát érint náluk. Ismételt meghallgatása oldja bennük az adott kérdéskör által okozott feszültséget.”</w:t>
            </w:r>
          </w:p>
          <w:p w:rsidR="00D80D60" w:rsidRPr="00D80D60" w:rsidRDefault="00D80D60" w:rsidP="00D80D60">
            <w:pPr>
              <w:spacing w:after="120" w:line="240" w:lineRule="auto"/>
              <w:jc w:val="both"/>
              <w:rPr>
                <w:rFonts w:eastAsia="Calibri" w:cs="Calibri"/>
              </w:rPr>
            </w:pPr>
            <w:r w:rsidRPr="002F7230">
              <w:rPr>
                <w:bCs/>
              </w:rPr>
              <w:t>201</w:t>
            </w:r>
            <w:r w:rsidR="004C7FF3">
              <w:rPr>
                <w:bCs/>
              </w:rPr>
              <w:t>6-</w:t>
            </w:r>
            <w:r w:rsidRPr="002F7230">
              <w:rPr>
                <w:bCs/>
              </w:rPr>
              <w:t>b</w:t>
            </w:r>
            <w:r w:rsidR="00514F9F">
              <w:rPr>
                <w:bCs/>
              </w:rPr>
              <w:t>a</w:t>
            </w:r>
            <w:r w:rsidRPr="002F7230">
              <w:rPr>
                <w:bCs/>
              </w:rPr>
              <w:t xml:space="preserve">n növeltük iskoláink számát </w:t>
            </w:r>
            <w:r w:rsidRPr="002F7230">
              <w:rPr>
                <w:b/>
                <w:bCs/>
              </w:rPr>
              <w:t>13 oktatási intézményben</w:t>
            </w:r>
            <w:r w:rsidRPr="002F7230">
              <w:rPr>
                <w:bCs/>
              </w:rPr>
              <w:t xml:space="preserve"> tartunk drámajátékot; rendhagyó irodalom órát és viszünk színházi előadásokat az iskolákba.</w:t>
            </w:r>
            <w:r w:rsidRPr="002F7230">
              <w:rPr>
                <w:rFonts w:eastAsia="Calibri" w:cs="Calibri"/>
              </w:rPr>
              <w:t xml:space="preserve"> A drámapedagógiát és a különböző művészeti ágak megismerését használtuk fel arra</w:t>
            </w:r>
            <w:r>
              <w:rPr>
                <w:rFonts w:eastAsia="Calibri" w:cs="Calibri"/>
              </w:rPr>
              <w:t xml:space="preserve"> a</w:t>
            </w:r>
            <w:r w:rsidRPr="002F7230">
              <w:rPr>
                <w:rFonts w:eastAsia="Calibri" w:cs="Calibri"/>
              </w:rPr>
              <w:t xml:space="preserve"> célra, hogy a gyermekek minél jobban élvezzék óráinkat, minél jobban megnyíljanak előttünk. </w:t>
            </w:r>
          </w:p>
          <w:p w:rsidR="00BA1EC5" w:rsidRPr="00294D1E" w:rsidRDefault="00BA1EC5" w:rsidP="00D80D60">
            <w:pPr>
              <w:spacing w:after="100" w:afterAutospacing="1" w:line="240" w:lineRule="auto"/>
              <w:contextualSpacing/>
              <w:rPr>
                <w:rFonts w:ascii="Times New Roman" w:hAnsi="Times New Roman" w:cs="Times New Roman"/>
                <w:bCs/>
                <w:color w:val="17365D" w:themeColor="text2" w:themeShade="BF"/>
                <w:sz w:val="20"/>
                <w:szCs w:val="20"/>
              </w:rPr>
            </w:pPr>
          </w:p>
        </w:tc>
      </w:tr>
    </w:tbl>
    <w:p w:rsidR="000A2376" w:rsidRDefault="000A2376">
      <w: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4"/>
        <w:gridCol w:w="5115"/>
      </w:tblGrid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lastRenderedPageBreak/>
              <w:t>közhasznú tevékenység megnevezése: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oktatás- kulturális tevékenység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-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közhasznú tevékenységhez kapcsolódó közfeladat, jogszabályhely: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8E6058" w:rsidRDefault="00294D1E" w:rsidP="008E605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="008E6058" w:rsidRPr="00294D1E">
              <w:rPr>
                <w:rFonts w:ascii="Times New Roman" w:hAnsi="Times New Roman"/>
                <w:b/>
                <w:i/>
                <w:sz w:val="20"/>
                <w:szCs w:val="20"/>
              </w:rPr>
              <w:t>nevelés és oktatás</w:t>
            </w:r>
            <w:r w:rsidR="008E6058" w:rsidRPr="00F37D99">
              <w:rPr>
                <w:rFonts w:ascii="Times New Roman" w:hAnsi="Times New Roman"/>
                <w:i/>
                <w:sz w:val="20"/>
                <w:szCs w:val="20"/>
              </w:rPr>
              <w:t>, képességfejlesztés, ismeretterjesztés,- oktatási közfeladat ellátása a nemzeti köznevelésről szóló 2011. évi CXC törvény 4§ (1) n)- o)-p) pontjai alapján.</w:t>
            </w:r>
          </w:p>
          <w:p w:rsidR="00294D1E" w:rsidRDefault="00294D1E" w:rsidP="00294D1E">
            <w:pPr>
              <w:spacing w:line="240" w:lineRule="auto"/>
              <w:rPr>
                <w:rFonts w:ascii="Times New Roman" w:hAnsi="Times New Roman" w:cs="Times New Roman"/>
                <w:i/>
                <w:sz w:val="20"/>
              </w:rPr>
            </w:pPr>
            <w:r w:rsidRPr="00294D1E">
              <w:rPr>
                <w:rFonts w:ascii="Times New Roman" w:hAnsi="Times New Roman" w:cs="Times New Roman"/>
                <w:i/>
                <w:sz w:val="20"/>
              </w:rPr>
              <w:t xml:space="preserve">- </w:t>
            </w:r>
            <w:r w:rsidRPr="00294D1E">
              <w:rPr>
                <w:rFonts w:ascii="Times New Roman" w:hAnsi="Times New Roman" w:cs="Times New Roman"/>
                <w:b/>
                <w:i/>
                <w:sz w:val="20"/>
              </w:rPr>
              <w:t>kulturális tevékenység (közhasznú főtevékenység),</w:t>
            </w:r>
            <w:r w:rsidRPr="00294D1E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</w:p>
          <w:p w:rsidR="00BA1EC5" w:rsidRPr="00294D1E" w:rsidRDefault="00294D1E" w:rsidP="00294D1E">
            <w:pPr>
              <w:spacing w:line="240" w:lineRule="auto"/>
              <w:rPr>
                <w:rFonts w:ascii="Times New Roman" w:hAnsi="Times New Roman" w:cs="Times New Roman"/>
                <w:i/>
                <w:sz w:val="20"/>
              </w:rPr>
            </w:pPr>
            <w:r w:rsidRPr="00294D1E">
              <w:rPr>
                <w:rFonts w:ascii="Times New Roman" w:hAnsi="Times New Roman" w:cs="Times New Roman"/>
                <w:i/>
                <w:sz w:val="20"/>
              </w:rPr>
              <w:t>közösségi kulturális hagyományok, értékek ápolásának, művelődésre szerveződő közösségek tevékenységének, a lakosság életmódja javítását szolgáló kulturális célok megvalósításának támogatása,művészeti intézmények/lakossági művészeti kezdeményezések,önszerveződések támogatása, a művészi alkotó munkafeltételeinek javítása, a művészeti értékek létrehozásának megőrzésének segítése, közfeladat ellátása a helyi önkormányzatok és szerveik hatásköréről szóló 1991.évi XX. Törvény 121.§ a)-b) pontjai és a helyi önkormányzatokról szóló 2011.évi CLXXXIX. Törvény 13.§ (1) bekezdés 7. pontja alapján.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a közhasznú tevékenység célcsoportja: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8E6058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gyermek/ifjúság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a közhasznú tevékenységből részesülők létszáma: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514F9F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9</w:t>
            </w:r>
            <w:r w:rsidR="008E6058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600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a közhasznú tevékenység főbb eredményei:</w:t>
            </w:r>
          </w:p>
          <w:p w:rsidR="008E6058" w:rsidRPr="00D80D60" w:rsidRDefault="008E6058" w:rsidP="008E6058">
            <w:pPr>
              <w:spacing w:line="240" w:lineRule="auto"/>
              <w:jc w:val="both"/>
              <w:rPr>
                <w:bCs/>
                <w:sz w:val="20"/>
                <w:szCs w:val="20"/>
              </w:rPr>
            </w:pPr>
            <w:r w:rsidRPr="00D80D60">
              <w:rPr>
                <w:bCs/>
                <w:sz w:val="20"/>
                <w:szCs w:val="20"/>
              </w:rPr>
              <w:t xml:space="preserve">A partner iskoláinkban évente kétszer előadást viszünk, így biztosítva a színház megszerettetését, megismerését a gyerekekkel. Fontos, hogy a gyermekek lássanak színházat, átéljék azt az élményt, varázslatot. Ha ez sikerül, később is igényük lesz rá, és a színház segít abban, hogy egészséges értékrenddel rendelkező felnőttekké váljanak. </w:t>
            </w:r>
          </w:p>
          <w:p w:rsidR="00294D1E" w:rsidRPr="00D80D60" w:rsidRDefault="008E6058" w:rsidP="00514F9F">
            <w:pPr>
              <w:spacing w:after="255" w:line="229" w:lineRule="atLeast"/>
              <w:jc w:val="both"/>
              <w:rPr>
                <w:bCs/>
                <w:color w:val="17365D" w:themeColor="text2" w:themeShade="BF"/>
                <w:sz w:val="20"/>
                <w:szCs w:val="20"/>
              </w:rPr>
            </w:pPr>
            <w:r w:rsidRPr="00D80D60">
              <w:rPr>
                <w:bCs/>
                <w:sz w:val="20"/>
                <w:szCs w:val="20"/>
              </w:rPr>
              <w:t xml:space="preserve">Ezekben az oktatási intézményekben drámapedagógiát és rendhagyó irodalom órákat is tartunk. Fontos számunkra a </w:t>
            </w:r>
            <w:r w:rsidRPr="00D80D60">
              <w:rPr>
                <w:b/>
                <w:bCs/>
                <w:sz w:val="20"/>
                <w:szCs w:val="20"/>
              </w:rPr>
              <w:t>tehetséggondozás</w:t>
            </w:r>
            <w:r w:rsidRPr="00D80D60">
              <w:rPr>
                <w:bCs/>
                <w:sz w:val="20"/>
                <w:szCs w:val="20"/>
              </w:rPr>
              <w:t xml:space="preserve">, mely tartalmazza a gyermekek továbbtanulási eligazítását is, és más egyéb pszichológiai probléma feltárását a nevelőkkel szorosan együttműködve. Külön hangsúlyt fektetünk fogyatékos gyermekek drámapedagógiai foglalkoztatására, és a színház, mint élvezetforrás megismeréséhez. Az </w:t>
            </w:r>
            <w:r w:rsidRPr="00D80D60">
              <w:rPr>
                <w:b/>
                <w:bCs/>
                <w:sz w:val="20"/>
                <w:szCs w:val="20"/>
              </w:rPr>
              <w:t>Integrációt az egészséges gyerekekkel a nyári táborunk segíti elő</w:t>
            </w:r>
            <w:r w:rsidRPr="00D80D60">
              <w:rPr>
                <w:b/>
                <w:bCs/>
              </w:rPr>
              <w:t>,</w:t>
            </w:r>
            <w:r w:rsidRPr="00D80D60">
              <w:rPr>
                <w:bCs/>
              </w:rPr>
              <w:t xml:space="preserve"> </w:t>
            </w:r>
            <w:r w:rsidRPr="00D80D60">
              <w:rPr>
                <w:bCs/>
                <w:sz w:val="20"/>
                <w:szCs w:val="20"/>
              </w:rPr>
              <w:t>melyet 2012-ben próbáltuk ki először. Megható volt látni, ahogy az egészséges gyerekek figyelnek, segítik és óvják a fogyatékos gyerekeket. A sérült gyerekek meg</w:t>
            </w:r>
            <w:r w:rsidRPr="00D80D60">
              <w:rPr>
                <w:bCs/>
              </w:rPr>
              <w:t xml:space="preserve"> igyekeztek mindent jól csinálni, így egy fantasztikus és tanulságos két hetet tölthettünk együtt. </w:t>
            </w:r>
          </w:p>
        </w:tc>
      </w:tr>
    </w:tbl>
    <w:p w:rsidR="000A2376" w:rsidRDefault="000A2376">
      <w: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4"/>
        <w:gridCol w:w="3558"/>
        <w:gridCol w:w="1557"/>
      </w:tblGrid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294D1E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lastRenderedPageBreak/>
              <w:t>4. Közhasznú tevékenység érdekében felhasznált vagyon kimutatása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Felhasznált vagyonelem megnevezése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Vagyonelem értéke*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Felhasználás célja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5. Cél szerinti juttatások kimutatása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Cél szerinti juttatás megnevezése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Előző év*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Tárgyév*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6. Vezető tisztségviselőknek nyújtott juttatás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Tisztség</w:t>
            </w:r>
            <w:r w:rsidR="008E6058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: ügyvezető i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Előző év (1)*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Tárgyév (2)*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  <w:r w:rsidR="008E6058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Tagi Jövedelem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A vezető tisztségviselőknek nyújtott juttatás összesen: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514F9F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7. Közhasznú jogállás megállapításához szükséges mutatók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Alapadatok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Előző év (1)*</w:t>
            </w:r>
            <w:r w:rsidR="008E6058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201</w:t>
            </w:r>
            <w:r w:rsidR="004C7FF3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5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Tárgyév (2)*</w:t>
            </w:r>
            <w:r w:rsidR="008E6058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201</w:t>
            </w:r>
            <w:r w:rsidR="004C7FF3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>6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B. Éves összes bevétel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D80D60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ebből: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C. a személyi jövedelemadó meghatározott részének az adózó rendelkezése szerinti felhasználásáról szóló 1996. évi CXXVI. törvény alapján átutalt összeg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8E6058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-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  <w:r w:rsidR="008E6058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-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D. közszolgáltatási bevétel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E. normatív támogatás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8E6058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-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8E6058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-</w:t>
            </w:r>
            <w:r w:rsidR="00BA1EC5"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F. az Európai Unió strukturális alapjaiból, illetve a Kohéziós Alapból nyújtott támogatás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514F9F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 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G. Korrigált bevétel [B-(C+D+E+F)]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</w:tbl>
    <w:p w:rsidR="000A2376" w:rsidRDefault="000A2376">
      <w:r>
        <w:br w:type="page"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14"/>
        <w:gridCol w:w="3558"/>
        <w:gridCol w:w="1557"/>
      </w:tblGrid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lastRenderedPageBreak/>
              <w:t>H. Összes ráfordítás (kiadás)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514F9F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I. ebből személyi jellegű ráfordítás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J. Közhasznú tevékenység ráfordításai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514F9F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K. Adózott eredmény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L. A szervezet munkájában közreműködő közérdekű önkéntes tevékenységet végző személyek száma (főben; a közérdekű önkéntes tevékenységről szóló 2005. évi LXXXVIII. törvénynek megfelelően)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D80D60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514F9F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Erőforrás-ellátottság mutatói</w:t>
            </w:r>
          </w:p>
        </w:tc>
        <w:tc>
          <w:tcPr>
            <w:tcW w:w="5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Mutató teljesítése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(4)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a)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[(B1+B2)/2&gt;1.000.000,- Ft]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(4)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b)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[K1+K2≥0]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(4)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c)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[(I1+I2-A1-A2)/(H1+H2)≥0,25]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Társadalmi támogatottság mutatói</w:t>
            </w:r>
          </w:p>
        </w:tc>
        <w:tc>
          <w:tcPr>
            <w:tcW w:w="5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Mutató teljesítése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4C7FF3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(5)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a)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[(C1+C2)/(G1+G2)≥0,02]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(5)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b)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[(J1+J2)/(H1+H2)≥0,5]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4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Ectv. 32. § (5)</w:t>
            </w:r>
            <w:r w:rsidRPr="00BA1EC5">
              <w:rPr>
                <w:rFonts w:ascii="Helvetica" w:eastAsia="Times New Roman" w:hAnsi="Helvetica" w:cs="Helvetica"/>
                <w:i/>
                <w:iCs/>
                <w:color w:val="3F3F3F"/>
                <w:sz w:val="15"/>
                <w:szCs w:val="15"/>
                <w:lang w:eastAsia="hu-HU"/>
              </w:rPr>
              <w:t xml:space="preserve"> c)</w:t>
            </w: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 xml:space="preserve"> [(L1+L2)/2≥10 fő]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b/>
                <w:color w:val="8DB3E2" w:themeColor="text2" w:themeTint="66"/>
                <w:sz w:val="15"/>
                <w:szCs w:val="15"/>
                <w:lang w:eastAsia="hu-HU"/>
              </w:rPr>
              <w:t>Igen</w:t>
            </w:r>
          </w:p>
        </w:tc>
        <w:tc>
          <w:tcPr>
            <w:tcW w:w="1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F83487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F83487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Nem</w:t>
            </w:r>
          </w:p>
        </w:tc>
      </w:tr>
      <w:tr w:rsidR="00BA1EC5" w:rsidRPr="00BA1EC5" w:rsidTr="000A2376">
        <w:trPr>
          <w:tblCellSpacing w:w="0" w:type="dxa"/>
          <w:jc w:val="center"/>
        </w:trPr>
        <w:tc>
          <w:tcPr>
            <w:tcW w:w="9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38" w:type="dxa"/>
              <w:left w:w="127" w:type="dxa"/>
              <w:bottom w:w="38" w:type="dxa"/>
              <w:right w:w="0" w:type="dxa"/>
            </w:tcMar>
            <w:vAlign w:val="center"/>
            <w:hideMark/>
          </w:tcPr>
          <w:p w:rsidR="00BA1EC5" w:rsidRPr="00BA1EC5" w:rsidRDefault="00BA1EC5" w:rsidP="00BA1EC5">
            <w:pPr>
              <w:spacing w:after="255" w:line="229" w:lineRule="atLeast"/>
              <w:jc w:val="center"/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</w:pPr>
            <w:r w:rsidRPr="00BA1EC5">
              <w:rPr>
                <w:rFonts w:ascii="Helvetica" w:eastAsia="Times New Roman" w:hAnsi="Helvetica" w:cs="Helvetica"/>
                <w:color w:val="3F3F3F"/>
                <w:sz w:val="15"/>
                <w:szCs w:val="15"/>
                <w:lang w:eastAsia="hu-HU"/>
              </w:rPr>
              <w:t>* Adatok ezer forintban</w:t>
            </w:r>
          </w:p>
        </w:tc>
      </w:tr>
    </w:tbl>
    <w:p w:rsidR="00F4071F" w:rsidRDefault="00F4071F">
      <w:bookmarkStart w:id="0" w:name="_GoBack"/>
      <w:bookmarkEnd w:id="0"/>
    </w:p>
    <w:sectPr w:rsidR="00F4071F" w:rsidSect="00F40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76410"/>
    <w:multiLevelType w:val="hybridMultilevel"/>
    <w:tmpl w:val="E7FEA9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853F3"/>
    <w:multiLevelType w:val="hybridMultilevel"/>
    <w:tmpl w:val="45DC95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C3356"/>
    <w:multiLevelType w:val="hybridMultilevel"/>
    <w:tmpl w:val="E682CD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2D6A2D"/>
    <w:multiLevelType w:val="hybridMultilevel"/>
    <w:tmpl w:val="509E2E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6470A"/>
    <w:multiLevelType w:val="hybridMultilevel"/>
    <w:tmpl w:val="FB2EC080"/>
    <w:lvl w:ilvl="0" w:tplc="832A6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1EC5"/>
    <w:rsid w:val="000A2376"/>
    <w:rsid w:val="000B37BD"/>
    <w:rsid w:val="00294D1E"/>
    <w:rsid w:val="0029522C"/>
    <w:rsid w:val="002B178E"/>
    <w:rsid w:val="003A6E89"/>
    <w:rsid w:val="00475304"/>
    <w:rsid w:val="004C7FF3"/>
    <w:rsid w:val="00514F9F"/>
    <w:rsid w:val="00652B84"/>
    <w:rsid w:val="008E6058"/>
    <w:rsid w:val="00AD3D43"/>
    <w:rsid w:val="00BA1EC5"/>
    <w:rsid w:val="00BA3F8C"/>
    <w:rsid w:val="00BD3B64"/>
    <w:rsid w:val="00D0716C"/>
    <w:rsid w:val="00D80D60"/>
    <w:rsid w:val="00F4071F"/>
    <w:rsid w:val="00F83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071F"/>
  </w:style>
  <w:style w:type="paragraph" w:styleId="Cmsor2">
    <w:name w:val="heading 2"/>
    <w:basedOn w:val="Norml"/>
    <w:link w:val="Cmsor2Char"/>
    <w:uiPriority w:val="9"/>
    <w:qFormat/>
    <w:rsid w:val="00BA1EC5"/>
    <w:pPr>
      <w:spacing w:after="319" w:line="382" w:lineRule="atLeast"/>
      <w:outlineLvl w:val="1"/>
    </w:pPr>
    <w:rPr>
      <w:rFonts w:ascii="Georgia" w:eastAsia="Times New Roman" w:hAnsi="Georgia" w:cs="Times New Roman"/>
      <w:b/>
      <w:bCs/>
      <w:color w:val="000000"/>
      <w:sz w:val="32"/>
      <w:szCs w:val="32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A1EC5"/>
    <w:rPr>
      <w:rFonts w:ascii="Georgia" w:eastAsia="Times New Roman" w:hAnsi="Georgia" w:cs="Times New Roman"/>
      <w:b/>
      <w:bCs/>
      <w:color w:val="000000"/>
      <w:sz w:val="32"/>
      <w:szCs w:val="32"/>
      <w:lang w:eastAsia="hu-HU"/>
    </w:rPr>
  </w:style>
  <w:style w:type="paragraph" w:styleId="NormlWeb">
    <w:name w:val="Normal (Web)"/>
    <w:basedOn w:val="Norml"/>
    <w:uiPriority w:val="99"/>
    <w:unhideWhenUsed/>
    <w:rsid w:val="00BA1EC5"/>
    <w:pPr>
      <w:spacing w:after="255" w:line="229" w:lineRule="atLeast"/>
    </w:pPr>
    <w:rPr>
      <w:rFonts w:ascii="Helvetica" w:eastAsia="Times New Roman" w:hAnsi="Helvetica" w:cs="Helvetica"/>
      <w:sz w:val="15"/>
      <w:szCs w:val="15"/>
      <w:lang w:eastAsia="hu-HU"/>
    </w:rPr>
  </w:style>
  <w:style w:type="character" w:styleId="Kiemels">
    <w:name w:val="Emphasis"/>
    <w:basedOn w:val="Bekezdsalapbettpusa"/>
    <w:uiPriority w:val="20"/>
    <w:qFormat/>
    <w:rsid w:val="00BA1EC5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A1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1EC5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link w:val="Szvegtrzs2Char"/>
    <w:semiHidden/>
    <w:rsid w:val="00D80D6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semiHidden/>
    <w:rsid w:val="00D80D6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semiHidden/>
    <w:rsid w:val="00D80D6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D80D6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80D60"/>
    <w:rPr>
      <w:b/>
      <w:bCs/>
    </w:rPr>
  </w:style>
  <w:style w:type="character" w:styleId="Hiperhivatkozs">
    <w:name w:val="Hyperlink"/>
    <w:basedOn w:val="Bekezdsalapbettpusa"/>
    <w:semiHidden/>
    <w:rsid w:val="00514F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0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5684">
              <w:marLeft w:val="0"/>
              <w:marRight w:val="0"/>
              <w:marTop w:val="1555"/>
              <w:marBottom w:val="5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3">
                  <w:marLeft w:val="3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95997"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3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01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DC9-F173-4647-A004-D367C700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1137</Words>
  <Characters>7851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Pinceszinház 1</dc:creator>
  <cp:lastModifiedBy>Kis Zoltán Gergely</cp:lastModifiedBy>
  <cp:revision>3</cp:revision>
  <cp:lastPrinted>2015-06-01T07:26:00Z</cp:lastPrinted>
  <dcterms:created xsi:type="dcterms:W3CDTF">2017-05-08T09:10:00Z</dcterms:created>
  <dcterms:modified xsi:type="dcterms:W3CDTF">2017-05-30T16:15:00Z</dcterms:modified>
</cp:coreProperties>
</file>